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6" w:rsidRPr="00456B61" w:rsidRDefault="00957AE6" w:rsidP="00957AE6">
      <w:pPr>
        <w:pStyle w:val="a3"/>
        <w:ind w:right="1" w:firstLine="567"/>
        <w:jc w:val="center"/>
        <w:rPr>
          <w:sz w:val="28"/>
          <w:szCs w:val="28"/>
          <w:lang w:val="uk-UA"/>
        </w:rPr>
      </w:pPr>
    </w:p>
    <w:p w:rsidR="00957AE6" w:rsidRPr="00456B61" w:rsidRDefault="00957AE6" w:rsidP="00957AE6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1.95pt" o:ole="">
            <v:imagedata r:id="rId4" o:title=""/>
          </v:shape>
          <o:OLEObject Type="Embed" ProgID="PBrush" ShapeID="_x0000_i1025" DrawAspect="Content" ObjectID="_1642934304" r:id="rId5"/>
        </w:object>
      </w:r>
    </w:p>
    <w:p w:rsidR="00957AE6" w:rsidRPr="00456B61" w:rsidRDefault="00957AE6" w:rsidP="00957AE6">
      <w:pPr>
        <w:ind w:right="1" w:firstLine="567"/>
        <w:jc w:val="center"/>
        <w:rPr>
          <w:sz w:val="28"/>
          <w:szCs w:val="28"/>
          <w:lang w:val="uk-UA"/>
        </w:rPr>
      </w:pPr>
    </w:p>
    <w:p w:rsidR="00957AE6" w:rsidRPr="00456B61" w:rsidRDefault="00957AE6" w:rsidP="00957AE6">
      <w:pPr>
        <w:ind w:right="1" w:firstLine="567"/>
        <w:jc w:val="center"/>
        <w:rPr>
          <w:sz w:val="28"/>
          <w:szCs w:val="28"/>
          <w:lang w:val="uk-UA"/>
        </w:rPr>
      </w:pPr>
    </w:p>
    <w:p w:rsidR="00957AE6" w:rsidRPr="00456B61" w:rsidRDefault="00957AE6" w:rsidP="00957AE6">
      <w:pPr>
        <w:ind w:right="1" w:firstLine="567"/>
        <w:jc w:val="center"/>
        <w:rPr>
          <w:sz w:val="28"/>
          <w:szCs w:val="28"/>
          <w:lang w:val="uk-UA"/>
        </w:rPr>
      </w:pPr>
    </w:p>
    <w:p w:rsidR="00957AE6" w:rsidRPr="00456B61" w:rsidRDefault="00957AE6" w:rsidP="00957AE6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957AE6" w:rsidRPr="00456B61" w:rsidRDefault="00957AE6" w:rsidP="00957AE6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957AE6" w:rsidRPr="00456B61" w:rsidRDefault="00957AE6" w:rsidP="00957AE6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957AE6" w:rsidRPr="00456B61" w:rsidRDefault="00957AE6" w:rsidP="00957AE6">
      <w:pPr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лютого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</w:t>
      </w:r>
    </w:p>
    <w:p w:rsidR="00957AE6" w:rsidRPr="00456B61" w:rsidRDefault="00957AE6" w:rsidP="00957AE6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957AE6" w:rsidRPr="00456B61" w:rsidRDefault="00957AE6" w:rsidP="00957AE6">
      <w:pPr>
        <w:ind w:right="1" w:firstLine="567"/>
        <w:jc w:val="both"/>
        <w:rPr>
          <w:sz w:val="28"/>
          <w:szCs w:val="28"/>
          <w:lang w:val="uk-UA"/>
        </w:rPr>
      </w:pPr>
    </w:p>
    <w:p w:rsidR="00957AE6" w:rsidRPr="00444DEA" w:rsidRDefault="00957AE6" w:rsidP="00957AE6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 xml:space="preserve">15 від 24.06.2015 року </w:t>
      </w:r>
      <w:r>
        <w:rPr>
          <w:sz w:val="28"/>
          <w:szCs w:val="28"/>
          <w:lang w:val="uk-UA"/>
        </w:rPr>
        <w:t>(</w:t>
      </w:r>
      <w:r w:rsidRPr="00456B61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456B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44DEA">
        <w:rPr>
          <w:color w:val="000000" w:themeColor="text1"/>
          <w:sz w:val="28"/>
          <w:szCs w:val="28"/>
          <w:lang w:val="uk-UA"/>
        </w:rPr>
        <w:t xml:space="preserve">Положення про автоматизовану систему документообігу суду, затвердженого рішенням Ради суддів України від 26.11.2010 № 30 (зі змінами та доповненнями), </w:t>
      </w:r>
      <w:r>
        <w:rPr>
          <w:color w:val="000000" w:themeColor="text1"/>
          <w:sz w:val="28"/>
          <w:szCs w:val="28"/>
          <w:lang w:val="uk-UA"/>
        </w:rPr>
        <w:t>КПК України,</w:t>
      </w:r>
      <w:r w:rsidRPr="00444DEA">
        <w:rPr>
          <w:sz w:val="28"/>
          <w:szCs w:val="28"/>
          <w:lang w:val="uk-UA"/>
        </w:rPr>
        <w:t>-</w:t>
      </w:r>
    </w:p>
    <w:p w:rsidR="00957AE6" w:rsidRPr="00456B61" w:rsidRDefault="00957AE6" w:rsidP="00957AE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57AE6" w:rsidRPr="00783F2E" w:rsidRDefault="00957AE6" w:rsidP="00957AE6">
      <w:pPr>
        <w:ind w:right="1"/>
        <w:jc w:val="center"/>
        <w:rPr>
          <w:b/>
          <w:sz w:val="28"/>
          <w:szCs w:val="28"/>
          <w:lang w:val="uk-UA"/>
        </w:rPr>
      </w:pPr>
      <w:r w:rsidRPr="00783F2E">
        <w:rPr>
          <w:b/>
          <w:sz w:val="28"/>
          <w:szCs w:val="28"/>
          <w:lang w:val="uk-UA"/>
        </w:rPr>
        <w:t>вирішили:</w:t>
      </w:r>
    </w:p>
    <w:p w:rsidR="00957AE6" w:rsidRPr="00456B61" w:rsidRDefault="00957AE6" w:rsidP="00957AE6">
      <w:pPr>
        <w:ind w:right="1"/>
        <w:jc w:val="both"/>
        <w:rPr>
          <w:b/>
          <w:sz w:val="28"/>
          <w:szCs w:val="28"/>
          <w:lang w:val="uk-UA"/>
        </w:rPr>
      </w:pPr>
    </w:p>
    <w:p w:rsidR="00957AE6" w:rsidRDefault="00957AE6" w:rsidP="00957AE6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разі надходження до суду справ та матеріалів слідчих суддів з індексом «1-кс» в межах одного кримінального провадження, зареєстрованого в Єдиному державному реєстрі досудових розслідувань за одним номером провадження, якщо двоє слідчих суддів раніше брали участь в розгляді та в день розподілу мають право розглядати такі справи, автоматизований розподіл здійснювати на загальних підставах. </w:t>
      </w: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Справи та матеріали слідчих суддів з індексом «1-кс», що надходитимуть в той самий день в межах одного кримінального провадження розподіляти раніше визначеному в цей день слідчому судді.   </w:t>
      </w: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57AE6" w:rsidRPr="00456B61" w:rsidRDefault="00957AE6" w:rsidP="00957AE6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894D6C" w:rsidRPr="00957AE6" w:rsidRDefault="00894D6C" w:rsidP="00957AE6">
      <w:pPr>
        <w:rPr>
          <w:lang w:val="uk-UA"/>
        </w:rPr>
      </w:pPr>
    </w:p>
    <w:sectPr w:rsidR="00894D6C" w:rsidRPr="00957AE6" w:rsidSect="00894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1C8D"/>
    <w:rsid w:val="00811C8D"/>
    <w:rsid w:val="00894D6C"/>
    <w:rsid w:val="00957AE6"/>
    <w:rsid w:val="00B031F1"/>
    <w:rsid w:val="00DC61D0"/>
    <w:rsid w:val="00E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11C8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2020-02-11T11:52:00Z</dcterms:created>
  <dcterms:modified xsi:type="dcterms:W3CDTF">2020-02-11T11:52:00Z</dcterms:modified>
</cp:coreProperties>
</file>